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066D02" w:rsidP="00066D02">
      <w:pPr>
        <w:pStyle w:val="NoSpacing"/>
        <w:jc w:val="center"/>
        <w:rPr>
          <w:b/>
          <w:sz w:val="32"/>
          <w:szCs w:val="32"/>
        </w:rPr>
      </w:pPr>
      <w:r>
        <w:rPr>
          <w:b/>
          <w:sz w:val="32"/>
          <w:szCs w:val="32"/>
        </w:rPr>
        <w:t>AYC Ecology North</w:t>
      </w:r>
    </w:p>
    <w:p w:rsidR="00066D02" w:rsidRDefault="00066D02" w:rsidP="00066D02">
      <w:pPr>
        <w:pStyle w:val="NoSpacing"/>
        <w:jc w:val="center"/>
        <w:rPr>
          <w:b/>
          <w:sz w:val="24"/>
          <w:szCs w:val="24"/>
        </w:rPr>
      </w:pPr>
      <w:r>
        <w:rPr>
          <w:b/>
          <w:sz w:val="24"/>
          <w:szCs w:val="24"/>
        </w:rPr>
        <w:t>June 2013</w:t>
      </w:r>
    </w:p>
    <w:p w:rsidR="00D363D8" w:rsidRDefault="00D363D8" w:rsidP="00066D02">
      <w:pPr>
        <w:pStyle w:val="NoSpacing"/>
        <w:jc w:val="center"/>
        <w:rPr>
          <w:b/>
          <w:sz w:val="24"/>
          <w:szCs w:val="24"/>
        </w:rPr>
      </w:pPr>
    </w:p>
    <w:p w:rsidR="00066D02" w:rsidRDefault="00F80404" w:rsidP="00066D02">
      <w:pPr>
        <w:pStyle w:val="NoSpacing"/>
        <w:rPr>
          <w:b/>
          <w:sz w:val="28"/>
          <w:szCs w:val="28"/>
        </w:rPr>
      </w:pPr>
      <w:r>
        <w:rPr>
          <w:b/>
          <w:sz w:val="28"/>
          <w:szCs w:val="28"/>
        </w:rPr>
        <w:t xml:space="preserve">One E15 bill passes committee; more legislation on way </w:t>
      </w:r>
    </w:p>
    <w:p w:rsidR="00D363D8" w:rsidRDefault="00D363D8" w:rsidP="00066D02">
      <w:pPr>
        <w:pStyle w:val="NoSpacing"/>
        <w:rPr>
          <w:sz w:val="24"/>
          <w:szCs w:val="24"/>
        </w:rPr>
      </w:pPr>
      <w:r>
        <w:rPr>
          <w:sz w:val="24"/>
          <w:szCs w:val="24"/>
        </w:rPr>
        <w:t xml:space="preserve">By </w:t>
      </w:r>
      <w:r w:rsidR="00F80404">
        <w:rPr>
          <w:sz w:val="24"/>
          <w:szCs w:val="24"/>
        </w:rPr>
        <w:t>Jonathan Sweet</w:t>
      </w:r>
      <w:r w:rsidR="00066D02">
        <w:rPr>
          <w:sz w:val="24"/>
          <w:szCs w:val="24"/>
        </w:rPr>
        <w:t xml:space="preserve">, </w:t>
      </w:r>
      <w:hyperlink r:id="rId5" w:history="1">
        <w:r w:rsidR="00066D02" w:rsidRPr="00F80404">
          <w:rPr>
            <w:rStyle w:val="Hyperlink"/>
            <w:sz w:val="24"/>
            <w:szCs w:val="24"/>
          </w:rPr>
          <w:t>BoatingIndustry.com</w:t>
        </w:r>
      </w:hyperlink>
      <w:r w:rsidR="00F80404">
        <w:rPr>
          <w:sz w:val="24"/>
          <w:szCs w:val="24"/>
        </w:rPr>
        <w:t xml:space="preserve"> </w:t>
      </w:r>
      <w:r>
        <w:rPr>
          <w:sz w:val="24"/>
          <w:szCs w:val="24"/>
        </w:rPr>
        <w:t xml:space="preserve"> </w:t>
      </w:r>
    </w:p>
    <w:p w:rsidR="00D363D8" w:rsidRDefault="00D363D8" w:rsidP="00066D02">
      <w:pPr>
        <w:pStyle w:val="NoSpacing"/>
        <w:rPr>
          <w:sz w:val="24"/>
          <w:szCs w:val="24"/>
        </w:rPr>
      </w:pPr>
    </w:p>
    <w:p w:rsidR="00F80404" w:rsidRPr="00F80404" w:rsidRDefault="00F80404" w:rsidP="00F80404">
      <w:pPr>
        <w:pStyle w:val="NoSpacing"/>
        <w:spacing w:after="120"/>
      </w:pPr>
      <w:r w:rsidRPr="00F80404">
        <w:t>A bill to block the use of 15 percent ethanol blends until more research can be done has made it out of committee in the U.S. House.</w:t>
      </w:r>
    </w:p>
    <w:p w:rsidR="00F80404" w:rsidRPr="00F80404" w:rsidRDefault="00F80404" w:rsidP="00F80404">
      <w:pPr>
        <w:pStyle w:val="NoSpacing"/>
        <w:spacing w:after="120"/>
      </w:pPr>
      <w:hyperlink r:id="rId6" w:tgtFrame="_blank" w:history="1">
        <w:r w:rsidRPr="00F80404">
          <w:rPr>
            <w:rStyle w:val="Hyperlink"/>
            <w:rFonts w:ascii="Arial" w:hAnsi="Arial" w:cs="Arial"/>
            <w:sz w:val="24"/>
            <w:szCs w:val="24"/>
          </w:rPr>
          <w:t>H.R. 875</w:t>
        </w:r>
      </w:hyperlink>
      <w:r w:rsidRPr="00F80404">
        <w:t xml:space="preserve">, introduced by Rep. James </w:t>
      </w:r>
      <w:proofErr w:type="spellStart"/>
      <w:r w:rsidRPr="00F80404">
        <w:t>Sensebrenner</w:t>
      </w:r>
      <w:proofErr w:type="spellEnd"/>
      <w:r w:rsidRPr="00F80404">
        <w:t xml:space="preserve">, </w:t>
      </w:r>
      <w:proofErr w:type="spellStart"/>
      <w:r w:rsidRPr="00F80404">
        <w:t>R.-Wisc</w:t>
      </w:r>
      <w:proofErr w:type="spellEnd"/>
      <w:r w:rsidRPr="00F80404">
        <w:t>., was approved Thursday by the House Committee on Science, Space and Technology by an 18-17 vote. It was a mostly party-line vote, with only Rep. Kevin Cramer, R-N.D., joining the 16 Democrats on the committee in voting no.</w:t>
      </w:r>
    </w:p>
    <w:p w:rsidR="00F80404" w:rsidRPr="00F80404" w:rsidRDefault="00F80404" w:rsidP="00F80404">
      <w:pPr>
        <w:pStyle w:val="NoSpacing"/>
        <w:spacing w:after="120"/>
      </w:pPr>
      <w:r w:rsidRPr="00F80404">
        <w:t>H.R. 875 would repeal the EPA’s waiver decision approving the use of E15 and the authority of the agency to grant further decisions until the EPA seeks an independent scientific analysis of the effects of the E15 blend on engines.</w:t>
      </w:r>
    </w:p>
    <w:p w:rsidR="00F80404" w:rsidRPr="00F80404" w:rsidRDefault="00F80404" w:rsidP="00F80404">
      <w:pPr>
        <w:pStyle w:val="NoSpacing"/>
        <w:spacing w:after="120"/>
      </w:pPr>
      <w:r w:rsidRPr="00F80404">
        <w:t xml:space="preserve">On Wednesday, Rep. Robert </w:t>
      </w:r>
      <w:proofErr w:type="spellStart"/>
      <w:r w:rsidRPr="00F80404">
        <w:t>Goodlatte</w:t>
      </w:r>
      <w:proofErr w:type="spellEnd"/>
      <w:r w:rsidRPr="00F80404">
        <w:t xml:space="preserve">, R-Va., introduced </w:t>
      </w:r>
      <w:hyperlink r:id="rId7" w:tgtFrame="_blank" w:history="1">
        <w:r w:rsidRPr="00F80404">
          <w:rPr>
            <w:rStyle w:val="Hyperlink"/>
            <w:rFonts w:ascii="Arial" w:hAnsi="Arial" w:cs="Arial"/>
            <w:sz w:val="24"/>
            <w:szCs w:val="24"/>
          </w:rPr>
          <w:t>two more bills to limit E15</w:t>
        </w:r>
      </w:hyperlink>
      <w:r w:rsidRPr="00F80404">
        <w:t>. The first, the RFS Elimination Act</w:t>
      </w:r>
      <w:r w:rsidRPr="00F80404">
        <w:rPr>
          <w:b/>
          <w:bCs/>
        </w:rPr>
        <w:t xml:space="preserve">, </w:t>
      </w:r>
      <w:r w:rsidRPr="00F80404">
        <w:t xml:space="preserve">would eliminate the Renewable Fuel Standard – which </w:t>
      </w:r>
      <w:r w:rsidRPr="00F80404">
        <w:rPr>
          <w:rStyle w:val="Strong"/>
          <w:rFonts w:ascii="Arial" w:hAnsi="Arial" w:cs="Arial"/>
          <w:color w:val="202020"/>
          <w:sz w:val="24"/>
          <w:szCs w:val="24"/>
        </w:rPr>
        <w:t xml:space="preserve">requires </w:t>
      </w:r>
      <w:r w:rsidRPr="00F80404">
        <w:t xml:space="preserve">that 36 billion gallons of renewable fuels be part of the nation’s fuel supply by 2022 – and “makes ethanol compete in a free market,” </w:t>
      </w:r>
      <w:proofErr w:type="spellStart"/>
      <w:r w:rsidRPr="00F80404">
        <w:t>Goodlatte</w:t>
      </w:r>
      <w:proofErr w:type="spellEnd"/>
      <w:r w:rsidRPr="00F80404">
        <w:t xml:space="preserve"> said in a statement.</w:t>
      </w:r>
    </w:p>
    <w:p w:rsidR="00F80404" w:rsidRPr="00F80404" w:rsidRDefault="00F80404" w:rsidP="00F80404">
      <w:pPr>
        <w:pStyle w:val="NoSpacing"/>
        <w:spacing w:after="120"/>
      </w:pPr>
      <w:r w:rsidRPr="00F80404">
        <w:t>He also introduced the RFS Reform Act, which would cap the amount of ethanol that can be blended into gasoline at 10 percent.</w:t>
      </w:r>
    </w:p>
    <w:p w:rsidR="00066D02" w:rsidRPr="00F80404" w:rsidRDefault="00F80404" w:rsidP="00F80404">
      <w:pPr>
        <w:pStyle w:val="NoSpacing"/>
        <w:spacing w:after="120"/>
      </w:pPr>
      <w:r w:rsidRPr="00F80404">
        <w:t>Both bills are supported by several organizations, including the National Marine Manufacturers Association. The bills have been referred to the House Energy and Commerce Committee.</w:t>
      </w:r>
    </w:p>
    <w:p w:rsidR="00066D02" w:rsidRDefault="00066D02" w:rsidP="00066D02">
      <w:pPr>
        <w:pStyle w:val="NoSpacing"/>
        <w:rPr>
          <w:sz w:val="24"/>
          <w:szCs w:val="24"/>
        </w:rPr>
      </w:pPr>
    </w:p>
    <w:p w:rsidR="00066D02" w:rsidRPr="00066D02" w:rsidRDefault="00066D02" w:rsidP="00066D02">
      <w:pPr>
        <w:shd w:val="clear" w:color="auto" w:fill="FFFFFF"/>
        <w:spacing w:line="300" w:lineRule="atLeast"/>
        <w:rPr>
          <w:rFonts w:ascii="Arial" w:hAnsi="Arial" w:cs="Arial"/>
          <w:color w:val="202020"/>
          <w:sz w:val="24"/>
          <w:szCs w:val="24"/>
        </w:rPr>
      </w:pPr>
    </w:p>
    <w:sectPr w:rsidR="00066D02" w:rsidRPr="00066D02"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6D02"/>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6D0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BE"/>
    <w:rsid w:val="00171BF7"/>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C3EA1"/>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D1942"/>
    <w:rsid w:val="004D5EBC"/>
    <w:rsid w:val="004E2684"/>
    <w:rsid w:val="004E2935"/>
    <w:rsid w:val="004F0C06"/>
    <w:rsid w:val="004F2DC1"/>
    <w:rsid w:val="004F534C"/>
    <w:rsid w:val="005046F9"/>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7049"/>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6FA5"/>
    <w:rsid w:val="00873E05"/>
    <w:rsid w:val="00874F89"/>
    <w:rsid w:val="00877FE0"/>
    <w:rsid w:val="0088593C"/>
    <w:rsid w:val="008904AA"/>
    <w:rsid w:val="008937FA"/>
    <w:rsid w:val="008A2772"/>
    <w:rsid w:val="008C17F3"/>
    <w:rsid w:val="008C28FB"/>
    <w:rsid w:val="008C4857"/>
    <w:rsid w:val="008C5E3E"/>
    <w:rsid w:val="008C61DA"/>
    <w:rsid w:val="008D1303"/>
    <w:rsid w:val="008D4B28"/>
    <w:rsid w:val="008E6F8C"/>
    <w:rsid w:val="008F2586"/>
    <w:rsid w:val="008F3303"/>
    <w:rsid w:val="008F5D8E"/>
    <w:rsid w:val="009041D6"/>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318"/>
    <w:rsid w:val="00D03D2B"/>
    <w:rsid w:val="00D06471"/>
    <w:rsid w:val="00D139D8"/>
    <w:rsid w:val="00D1457C"/>
    <w:rsid w:val="00D16ACA"/>
    <w:rsid w:val="00D21A9A"/>
    <w:rsid w:val="00D24250"/>
    <w:rsid w:val="00D2709D"/>
    <w:rsid w:val="00D32629"/>
    <w:rsid w:val="00D354D3"/>
    <w:rsid w:val="00D363D8"/>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2959"/>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0404"/>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066D02"/>
    <w:rPr>
      <w:color w:val="0000FF" w:themeColor="hyperlink"/>
      <w:u w:val="single"/>
    </w:rPr>
  </w:style>
  <w:style w:type="character" w:styleId="Strong">
    <w:name w:val="Strong"/>
    <w:basedOn w:val="DefaultParagraphFont"/>
    <w:uiPriority w:val="22"/>
    <w:qFormat/>
    <w:rsid w:val="00066D02"/>
    <w:rPr>
      <w:b/>
      <w:bCs/>
    </w:rPr>
  </w:style>
</w:styles>
</file>

<file path=word/webSettings.xml><?xml version="1.0" encoding="utf-8"?>
<w:webSettings xmlns:r="http://schemas.openxmlformats.org/officeDocument/2006/relationships" xmlns:w="http://schemas.openxmlformats.org/wordprocessingml/2006/main">
  <w:divs>
    <w:div w:id="1003511742">
      <w:bodyDiv w:val="1"/>
      <w:marLeft w:val="0"/>
      <w:marRight w:val="0"/>
      <w:marTop w:val="0"/>
      <w:marBottom w:val="0"/>
      <w:divBdr>
        <w:top w:val="none" w:sz="0" w:space="0" w:color="auto"/>
        <w:left w:val="none" w:sz="0" w:space="0" w:color="auto"/>
        <w:bottom w:val="none" w:sz="0" w:space="0" w:color="auto"/>
        <w:right w:val="none" w:sz="0" w:space="0" w:color="auto"/>
      </w:divBdr>
      <w:divsChild>
        <w:div w:id="1851796131">
          <w:marLeft w:val="0"/>
          <w:marRight w:val="0"/>
          <w:marTop w:val="0"/>
          <w:marBottom w:val="0"/>
          <w:divBdr>
            <w:top w:val="none" w:sz="0" w:space="0" w:color="auto"/>
            <w:left w:val="none" w:sz="0" w:space="0" w:color="auto"/>
            <w:bottom w:val="none" w:sz="0" w:space="0" w:color="auto"/>
            <w:right w:val="none" w:sz="0" w:space="0" w:color="auto"/>
          </w:divBdr>
          <w:divsChild>
            <w:div w:id="2089569271">
              <w:marLeft w:val="0"/>
              <w:marRight w:val="0"/>
              <w:marTop w:val="0"/>
              <w:marBottom w:val="0"/>
              <w:divBdr>
                <w:top w:val="none" w:sz="0" w:space="0" w:color="auto"/>
                <w:left w:val="none" w:sz="0" w:space="0" w:color="auto"/>
                <w:bottom w:val="none" w:sz="0" w:space="0" w:color="auto"/>
                <w:right w:val="none" w:sz="0" w:space="0" w:color="auto"/>
              </w:divBdr>
              <w:divsChild>
                <w:div w:id="83304800">
                  <w:marLeft w:val="0"/>
                  <w:marRight w:val="0"/>
                  <w:marTop w:val="0"/>
                  <w:marBottom w:val="0"/>
                  <w:divBdr>
                    <w:top w:val="none" w:sz="0" w:space="0" w:color="auto"/>
                    <w:left w:val="none" w:sz="0" w:space="0" w:color="auto"/>
                    <w:bottom w:val="none" w:sz="0" w:space="0" w:color="auto"/>
                    <w:right w:val="none" w:sz="0" w:space="0" w:color="auto"/>
                  </w:divBdr>
                  <w:divsChild>
                    <w:div w:id="1172531217">
                      <w:marLeft w:val="150"/>
                      <w:marRight w:val="0"/>
                      <w:marTop w:val="150"/>
                      <w:marBottom w:val="0"/>
                      <w:divBdr>
                        <w:top w:val="none" w:sz="0" w:space="0" w:color="auto"/>
                        <w:left w:val="none" w:sz="0" w:space="0" w:color="auto"/>
                        <w:bottom w:val="none" w:sz="0" w:space="0" w:color="auto"/>
                        <w:right w:val="none" w:sz="0" w:space="0" w:color="auto"/>
                      </w:divBdr>
                      <w:divsChild>
                        <w:div w:id="213374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8598662">
      <w:bodyDiv w:val="1"/>
      <w:marLeft w:val="0"/>
      <w:marRight w:val="0"/>
      <w:marTop w:val="0"/>
      <w:marBottom w:val="0"/>
      <w:divBdr>
        <w:top w:val="none" w:sz="0" w:space="0" w:color="auto"/>
        <w:left w:val="none" w:sz="0" w:space="0" w:color="auto"/>
        <w:bottom w:val="none" w:sz="0" w:space="0" w:color="auto"/>
        <w:right w:val="none" w:sz="0" w:space="0" w:color="auto"/>
      </w:divBdr>
      <w:divsChild>
        <w:div w:id="983661056">
          <w:marLeft w:val="0"/>
          <w:marRight w:val="0"/>
          <w:marTop w:val="0"/>
          <w:marBottom w:val="0"/>
          <w:divBdr>
            <w:top w:val="none" w:sz="0" w:space="0" w:color="auto"/>
            <w:left w:val="none" w:sz="0" w:space="0" w:color="auto"/>
            <w:bottom w:val="none" w:sz="0" w:space="0" w:color="auto"/>
            <w:right w:val="none" w:sz="0" w:space="0" w:color="auto"/>
          </w:divBdr>
          <w:divsChild>
            <w:div w:id="299924967">
              <w:marLeft w:val="0"/>
              <w:marRight w:val="0"/>
              <w:marTop w:val="0"/>
              <w:marBottom w:val="0"/>
              <w:divBdr>
                <w:top w:val="none" w:sz="0" w:space="0" w:color="auto"/>
                <w:left w:val="none" w:sz="0" w:space="0" w:color="auto"/>
                <w:bottom w:val="none" w:sz="0" w:space="0" w:color="auto"/>
                <w:right w:val="none" w:sz="0" w:space="0" w:color="auto"/>
              </w:divBdr>
              <w:divsChild>
                <w:div w:id="1528760241">
                  <w:marLeft w:val="0"/>
                  <w:marRight w:val="0"/>
                  <w:marTop w:val="0"/>
                  <w:marBottom w:val="0"/>
                  <w:divBdr>
                    <w:top w:val="none" w:sz="0" w:space="0" w:color="auto"/>
                    <w:left w:val="none" w:sz="0" w:space="0" w:color="auto"/>
                    <w:bottom w:val="none" w:sz="0" w:space="0" w:color="auto"/>
                    <w:right w:val="none" w:sz="0" w:space="0" w:color="auto"/>
                  </w:divBdr>
                  <w:divsChild>
                    <w:div w:id="26418854">
                      <w:marLeft w:val="150"/>
                      <w:marRight w:val="0"/>
                      <w:marTop w:val="150"/>
                      <w:marBottom w:val="0"/>
                      <w:divBdr>
                        <w:top w:val="none" w:sz="0" w:space="0" w:color="auto"/>
                        <w:left w:val="none" w:sz="0" w:space="0" w:color="auto"/>
                        <w:bottom w:val="none" w:sz="0" w:space="0" w:color="auto"/>
                        <w:right w:val="none" w:sz="0" w:space="0" w:color="auto"/>
                      </w:divBdr>
                      <w:divsChild>
                        <w:div w:id="71705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1114008">
      <w:bodyDiv w:val="1"/>
      <w:marLeft w:val="0"/>
      <w:marRight w:val="0"/>
      <w:marTop w:val="0"/>
      <w:marBottom w:val="0"/>
      <w:divBdr>
        <w:top w:val="none" w:sz="0" w:space="0" w:color="auto"/>
        <w:left w:val="none" w:sz="0" w:space="0" w:color="auto"/>
        <w:bottom w:val="none" w:sz="0" w:space="0" w:color="auto"/>
        <w:right w:val="none" w:sz="0" w:space="0" w:color="auto"/>
      </w:divBdr>
      <w:divsChild>
        <w:div w:id="718868777">
          <w:marLeft w:val="0"/>
          <w:marRight w:val="0"/>
          <w:marTop w:val="0"/>
          <w:marBottom w:val="0"/>
          <w:divBdr>
            <w:top w:val="none" w:sz="0" w:space="0" w:color="auto"/>
            <w:left w:val="none" w:sz="0" w:space="0" w:color="auto"/>
            <w:bottom w:val="none" w:sz="0" w:space="0" w:color="auto"/>
            <w:right w:val="none" w:sz="0" w:space="0" w:color="auto"/>
          </w:divBdr>
          <w:divsChild>
            <w:div w:id="630746287">
              <w:marLeft w:val="0"/>
              <w:marRight w:val="0"/>
              <w:marTop w:val="0"/>
              <w:marBottom w:val="0"/>
              <w:divBdr>
                <w:top w:val="none" w:sz="0" w:space="0" w:color="auto"/>
                <w:left w:val="none" w:sz="0" w:space="0" w:color="auto"/>
                <w:bottom w:val="none" w:sz="0" w:space="0" w:color="auto"/>
                <w:right w:val="none" w:sz="0" w:space="0" w:color="auto"/>
              </w:divBdr>
              <w:divsChild>
                <w:div w:id="168570133">
                  <w:marLeft w:val="0"/>
                  <w:marRight w:val="0"/>
                  <w:marTop w:val="0"/>
                  <w:marBottom w:val="0"/>
                  <w:divBdr>
                    <w:top w:val="none" w:sz="0" w:space="0" w:color="auto"/>
                    <w:left w:val="none" w:sz="0" w:space="0" w:color="auto"/>
                    <w:bottom w:val="none" w:sz="0" w:space="0" w:color="auto"/>
                    <w:right w:val="none" w:sz="0" w:space="0" w:color="auto"/>
                  </w:divBdr>
                  <w:divsChild>
                    <w:div w:id="1096437295">
                      <w:marLeft w:val="150"/>
                      <w:marRight w:val="0"/>
                      <w:marTop w:val="150"/>
                      <w:marBottom w:val="0"/>
                      <w:divBdr>
                        <w:top w:val="none" w:sz="0" w:space="0" w:color="auto"/>
                        <w:left w:val="none" w:sz="0" w:space="0" w:color="auto"/>
                        <w:bottom w:val="none" w:sz="0" w:space="0" w:color="auto"/>
                        <w:right w:val="none" w:sz="0" w:space="0" w:color="auto"/>
                      </w:divBdr>
                      <w:divsChild>
                        <w:div w:id="444925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advance.com/news/local/article_9a01e436-a259-11e2-89fc-001a4bcf687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omas.loc.gov/cgi-bin/query/z?c113:H.R.875" TargetMode="External"/><Relationship Id="rId5" Type="http://schemas.openxmlformats.org/officeDocument/2006/relationships/hyperlink" Target="http://www.boatingindustry.com/top-stories/2013/04/12/one-e15-bill-passes-committee-more-legislation-on-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70B51-CB98-42D6-8FC2-30DC71D4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2013-06-05T15:57:00Z</dcterms:created>
  <dcterms:modified xsi:type="dcterms:W3CDTF">2013-06-05T15:57:00Z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