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shd w:val="clear" w:color="auto" w:fill="FFFFFF"/>
        <w:tblCellMar>
          <w:left w:w="0" w:type="dxa"/>
          <w:right w:w="0" w:type="dxa"/>
        </w:tblCellMar>
        <w:tblLook w:val="04A0"/>
      </w:tblPr>
      <w:tblGrid>
        <w:gridCol w:w="10500"/>
      </w:tblGrid>
      <w:tr w:rsidR="00E1611C" w:rsidRPr="00E1611C" w:rsidTr="00E1611C">
        <w:trPr>
          <w:jc w:val="center"/>
        </w:trPr>
        <w:tc>
          <w:tcPr>
            <w:tcW w:w="5000" w:type="pct"/>
            <w:shd w:val="clear" w:color="auto" w:fill="auto"/>
            <w:vAlign w:val="center"/>
            <w:hideMark/>
          </w:tcPr>
          <w:p w:rsidR="00E1611C" w:rsidRPr="00E1611C" w:rsidRDefault="00E1611C" w:rsidP="00E1611C">
            <w:pPr>
              <w:spacing w:after="0" w:line="240" w:lineRule="auto"/>
              <w:rPr>
                <w:rFonts w:ascii="Arial" w:eastAsia="Times New Roman" w:hAnsi="Arial" w:cs="Arial"/>
                <w:b/>
                <w:bCs/>
                <w:color w:val="000000"/>
                <w:sz w:val="24"/>
                <w:szCs w:val="24"/>
              </w:rPr>
            </w:pPr>
            <w:r w:rsidRPr="00E1611C">
              <w:rPr>
                <w:rFonts w:ascii="Arial" w:eastAsia="Times New Roman" w:hAnsi="Arial" w:cs="Arial"/>
                <w:b/>
                <w:bCs/>
                <w:color w:val="000000"/>
                <w:sz w:val="24"/>
                <w:szCs w:val="24"/>
              </w:rPr>
              <w:t>PLUS-UP Program Pays; Ohio Meetings Aug. 22 and 23</w:t>
            </w:r>
          </w:p>
        </w:tc>
      </w:tr>
      <w:tr w:rsidR="00E1611C" w:rsidRPr="00E1611C" w:rsidTr="00E1611C">
        <w:trPr>
          <w:jc w:val="center"/>
        </w:trPr>
        <w:tc>
          <w:tcPr>
            <w:tcW w:w="5000" w:type="pct"/>
            <w:shd w:val="clear" w:color="auto" w:fill="auto"/>
            <w:tcMar>
              <w:top w:w="150" w:type="dxa"/>
              <w:left w:w="0" w:type="dxa"/>
              <w:bottom w:w="300" w:type="dxa"/>
              <w:right w:w="0" w:type="dxa"/>
            </w:tcMar>
            <w:vAlign w:val="center"/>
            <w:hideMark/>
          </w:tcPr>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The Phosphorus Load-Reduction Stimulus (PLUS-UP) Program is paying 10 growers this summer for reducing dissolved reactive phosphorus (DRP) loads in the Western Lake Erie Basin on 104 fields covering more than 5,300 acres. Payments average $9.12 per acre.</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w:t>
            </w:r>
          </w:p>
          <w:p w:rsidR="00E1611C" w:rsidRDefault="00E1611C" w:rsidP="00E1611C">
            <w:pPr>
              <w:spacing w:after="0" w:line="240" w:lineRule="auto"/>
              <w:rPr>
                <w:rFonts w:ascii="Arial" w:eastAsia="Times New Roman" w:hAnsi="Arial" w:cs="Arial"/>
                <w:color w:val="000000"/>
                <w:sz w:val="18"/>
                <w:szCs w:val="18"/>
              </w:rPr>
            </w:pPr>
            <w:r>
              <w:rPr>
                <w:rFonts w:ascii="Arial" w:eastAsia="Times New Roman" w:hAnsi="Arial" w:cs="Arial"/>
                <w:noProof/>
                <w:color w:val="3C61AA"/>
                <w:sz w:val="18"/>
                <w:szCs w:val="18"/>
              </w:rPr>
              <w:drawing>
                <wp:inline distT="0" distB="0" distL="0" distR="0">
                  <wp:extent cx="2381250" cy="1285875"/>
                  <wp:effectExtent l="19050" t="0" r="0" b="0"/>
                  <wp:docPr id="2" name="Picture 1" descr="https://connect-ucs.xfinity.com/proxy?source=https%3A%2F%2Fctic.org%2Fimages%2FStory%2520Map%2520Grab(1).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nect-ucs.xfinity.com/proxy?source=https%3A%2F%2Fctic.org%2Fimages%2FStory%2520Map%2520Grab(1).png">
                            <a:hlinkClick r:id="rId4" tgtFrame="&quot;_blank&quot;"/>
                          </pic:cNvPr>
                          <pic:cNvPicPr>
                            <a:picLocks noChangeAspect="1" noChangeArrowheads="1"/>
                          </pic:cNvPicPr>
                        </pic:nvPicPr>
                        <pic:blipFill>
                          <a:blip r:embed="rId5" cstate="print"/>
                          <a:srcRect/>
                          <a:stretch>
                            <a:fillRect/>
                          </a:stretch>
                        </pic:blipFill>
                        <pic:spPr bwMode="auto">
                          <a:xfrm>
                            <a:off x="0" y="0"/>
                            <a:ext cx="2381250" cy="1285875"/>
                          </a:xfrm>
                          <a:prstGeom prst="rect">
                            <a:avLst/>
                          </a:prstGeom>
                          <a:noFill/>
                          <a:ln w="9525">
                            <a:noFill/>
                            <a:miter lim="800000"/>
                            <a:headEnd/>
                            <a:tailEnd/>
                          </a:ln>
                        </pic:spPr>
                      </pic:pic>
                    </a:graphicData>
                  </a:graphic>
                </wp:inline>
              </w:drawing>
            </w:r>
          </w:p>
          <w:p w:rsidR="00E1611C" w:rsidRDefault="00E1611C" w:rsidP="00E1611C">
            <w:pPr>
              <w:spacing w:after="0" w:line="240" w:lineRule="auto"/>
              <w:rPr>
                <w:rFonts w:ascii="Arial" w:eastAsia="Times New Roman" w:hAnsi="Arial" w:cs="Arial"/>
                <w:color w:val="000000"/>
                <w:sz w:val="18"/>
                <w:szCs w:val="18"/>
              </w:rPr>
            </w:pPr>
          </w:p>
          <w:p w:rsidR="00E1611C" w:rsidRDefault="00E1611C" w:rsidP="00E1611C">
            <w:pPr>
              <w:spacing w:after="0" w:line="240" w:lineRule="auto"/>
              <w:rPr>
                <w:rFonts w:ascii="Arial" w:eastAsia="Times New Roman" w:hAnsi="Arial" w:cs="Arial"/>
                <w:color w:val="000000"/>
                <w:sz w:val="18"/>
                <w:szCs w:val="18"/>
              </w:rPr>
            </w:pP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The program, which emphasizes the role of no-till and cover crops in reducing the off-farm movement of DRP into surface waters, is detailed in this </w:t>
            </w:r>
            <w:hyperlink r:id="rId6" w:tgtFrame="_blank" w:history="1">
              <w:r w:rsidRPr="00E1611C">
                <w:rPr>
                  <w:rFonts w:ascii="Arial" w:eastAsia="Times New Roman" w:hAnsi="Arial" w:cs="Arial"/>
                  <w:color w:val="3C61AA"/>
                  <w:sz w:val="18"/>
                  <w:u w:val="single"/>
                </w:rPr>
                <w:t>interactive story map</w:t>
              </w:r>
            </w:hyperlink>
            <w:r w:rsidRPr="00E1611C">
              <w:rPr>
                <w:rFonts w:ascii="Arial" w:eastAsia="Times New Roman" w:hAnsi="Arial" w:cs="Arial"/>
                <w:color w:val="000000"/>
                <w:sz w:val="18"/>
                <w:szCs w:val="18"/>
              </w:rPr>
              <w:t>.</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CTIC and The Andersons will host a 4Rs Nutrient Stewardship meeting in Maumee, Ohio, on August 23. A PLUS-UP stakeholder workshop will be held the following day in Toledo, Ohio. Watch </w:t>
            </w:r>
            <w:hyperlink r:id="rId7" w:tgtFrame="_blank" w:history="1">
              <w:r w:rsidRPr="00E1611C">
                <w:rPr>
                  <w:rFonts w:ascii="Arial" w:eastAsia="Times New Roman" w:hAnsi="Arial" w:cs="Arial"/>
                  <w:color w:val="3C61AA"/>
                  <w:sz w:val="18"/>
                  <w:u w:val="single"/>
                </w:rPr>
                <w:t>this link</w:t>
              </w:r>
            </w:hyperlink>
            <w:r w:rsidRPr="00E1611C">
              <w:rPr>
                <w:rFonts w:ascii="Arial" w:eastAsia="Times New Roman" w:hAnsi="Arial" w:cs="Arial"/>
                <w:color w:val="000000"/>
                <w:sz w:val="18"/>
                <w:szCs w:val="18"/>
              </w:rPr>
              <w:t> for details.</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With a grant from the U.S. Environmental Protection Agency, CTIC and our partners at Heidelberg University's National Center for Water Quality Research, St. Mary's University of Minnesota, and the Bayer Carbon Program developed a credit-based system to raise and disburse stimulus funds that help farmers cover the cost and management of practices that reduce phosphorus loads. The Bayer Carbon Program underwrote the DRP credits.</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xml:space="preserve">"Our goal with the PLUS-UP pilot project has been to develop an efficient, effective program," says project manager Hans </w:t>
            </w:r>
            <w:proofErr w:type="spellStart"/>
            <w:r w:rsidRPr="00E1611C">
              <w:rPr>
                <w:rFonts w:ascii="Arial" w:eastAsia="Times New Roman" w:hAnsi="Arial" w:cs="Arial"/>
                <w:color w:val="000000"/>
                <w:sz w:val="18"/>
                <w:szCs w:val="18"/>
              </w:rPr>
              <w:t>Kok</w:t>
            </w:r>
            <w:proofErr w:type="spellEnd"/>
            <w:r w:rsidRPr="00E1611C">
              <w:rPr>
                <w:rFonts w:ascii="Arial" w:eastAsia="Times New Roman" w:hAnsi="Arial" w:cs="Arial"/>
                <w:color w:val="000000"/>
                <w:sz w:val="18"/>
                <w:szCs w:val="18"/>
              </w:rPr>
              <w:t>. "That's why we focused on DRP, which is completely available to algae (and to crops, making its loss from farms a big economic blow as well as an environmental one).</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"Our partners at Heidelberg University have used data from participating farmers to model the actual amounts of DRP they are keeping out of the system, and each farmer's payments reflect their specific reductions," he notes.</w:t>
            </w:r>
          </w:p>
          <w:p w:rsidR="00E1611C" w:rsidRPr="00E1611C" w:rsidRDefault="00E1611C" w:rsidP="00E1611C">
            <w:pPr>
              <w:spacing w:after="0" w:line="240" w:lineRule="auto"/>
              <w:rPr>
                <w:rFonts w:ascii="Arial" w:eastAsia="Times New Roman" w:hAnsi="Arial" w:cs="Arial"/>
                <w:color w:val="000000"/>
                <w:sz w:val="18"/>
                <w:szCs w:val="18"/>
              </w:rPr>
            </w:pPr>
            <w:r w:rsidRPr="00E1611C">
              <w:rPr>
                <w:rFonts w:ascii="Arial" w:eastAsia="Times New Roman" w:hAnsi="Arial" w:cs="Arial"/>
                <w:color w:val="000000"/>
                <w:sz w:val="18"/>
                <w:szCs w:val="18"/>
              </w:rPr>
              <w:t> </w:t>
            </w:r>
          </w:p>
        </w:tc>
      </w:tr>
    </w:tbl>
    <w:p w:rsidR="00641E4A" w:rsidRDefault="00641E4A"/>
    <w:sectPr w:rsidR="00641E4A" w:rsidSect="00E1611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1611C"/>
    <w:rsid w:val="00641E4A"/>
    <w:rsid w:val="00E16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611C"/>
    <w:rPr>
      <w:color w:val="0000FF"/>
      <w:u w:val="single"/>
    </w:rPr>
  </w:style>
  <w:style w:type="paragraph" w:styleId="BalloonText">
    <w:name w:val="Balloon Text"/>
    <w:basedOn w:val="Normal"/>
    <w:link w:val="BalloonTextChar"/>
    <w:uiPriority w:val="99"/>
    <w:semiHidden/>
    <w:unhideWhenUsed/>
    <w:rsid w:val="00E16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0675446">
          <w:marLeft w:val="0"/>
          <w:marRight w:val="0"/>
          <w:marTop w:val="0"/>
          <w:marBottom w:val="0"/>
          <w:divBdr>
            <w:top w:val="none" w:sz="0" w:space="0" w:color="auto"/>
            <w:left w:val="none" w:sz="0" w:space="0" w:color="auto"/>
            <w:bottom w:val="none" w:sz="0" w:space="0" w:color="auto"/>
            <w:right w:val="none" w:sz="0" w:space="0" w:color="auto"/>
          </w:divBdr>
          <w:divsChild>
            <w:div w:id="1442455008">
              <w:marLeft w:val="0"/>
              <w:marRight w:val="0"/>
              <w:marTop w:val="0"/>
              <w:marBottom w:val="0"/>
              <w:divBdr>
                <w:top w:val="none" w:sz="0" w:space="0" w:color="auto"/>
                <w:left w:val="none" w:sz="0" w:space="0" w:color="auto"/>
                <w:bottom w:val="none" w:sz="0" w:space="0" w:color="auto"/>
                <w:right w:val="none" w:sz="0" w:space="0" w:color="auto"/>
              </w:divBdr>
            </w:div>
            <w:div w:id="782194463">
              <w:marLeft w:val="0"/>
              <w:marRight w:val="0"/>
              <w:marTop w:val="0"/>
              <w:marBottom w:val="0"/>
              <w:divBdr>
                <w:top w:val="none" w:sz="0" w:space="0" w:color="auto"/>
                <w:left w:val="none" w:sz="0" w:space="0" w:color="auto"/>
                <w:bottom w:val="none" w:sz="0" w:space="0" w:color="auto"/>
                <w:right w:val="none" w:sz="0" w:space="0" w:color="auto"/>
              </w:divBdr>
            </w:div>
            <w:div w:id="1553345340">
              <w:marLeft w:val="0"/>
              <w:marRight w:val="0"/>
              <w:marTop w:val="0"/>
              <w:marBottom w:val="0"/>
              <w:divBdr>
                <w:top w:val="none" w:sz="0" w:space="0" w:color="auto"/>
                <w:left w:val="none" w:sz="0" w:space="0" w:color="auto"/>
                <w:bottom w:val="none" w:sz="0" w:space="0" w:color="auto"/>
                <w:right w:val="none" w:sz="0" w:space="0" w:color="auto"/>
              </w:divBdr>
            </w:div>
            <w:div w:id="816413624">
              <w:marLeft w:val="0"/>
              <w:marRight w:val="0"/>
              <w:marTop w:val="0"/>
              <w:marBottom w:val="0"/>
              <w:divBdr>
                <w:top w:val="none" w:sz="0" w:space="0" w:color="auto"/>
                <w:left w:val="none" w:sz="0" w:space="0" w:color="auto"/>
                <w:bottom w:val="none" w:sz="0" w:space="0" w:color="auto"/>
                <w:right w:val="none" w:sz="0" w:space="0" w:color="auto"/>
              </w:divBdr>
            </w:div>
            <w:div w:id="1962103162">
              <w:marLeft w:val="0"/>
              <w:marRight w:val="0"/>
              <w:marTop w:val="0"/>
              <w:marBottom w:val="0"/>
              <w:divBdr>
                <w:top w:val="none" w:sz="0" w:space="0" w:color="auto"/>
                <w:left w:val="none" w:sz="0" w:space="0" w:color="auto"/>
                <w:bottom w:val="none" w:sz="0" w:space="0" w:color="auto"/>
                <w:right w:val="none" w:sz="0" w:space="0" w:color="auto"/>
              </w:divBdr>
            </w:div>
            <w:div w:id="1591424600">
              <w:marLeft w:val="0"/>
              <w:marRight w:val="0"/>
              <w:marTop w:val="0"/>
              <w:marBottom w:val="0"/>
              <w:divBdr>
                <w:top w:val="none" w:sz="0" w:space="0" w:color="auto"/>
                <w:left w:val="none" w:sz="0" w:space="0" w:color="auto"/>
                <w:bottom w:val="none" w:sz="0" w:space="0" w:color="auto"/>
                <w:right w:val="none" w:sz="0" w:space="0" w:color="auto"/>
              </w:divBdr>
            </w:div>
            <w:div w:id="1932084565">
              <w:marLeft w:val="0"/>
              <w:marRight w:val="0"/>
              <w:marTop w:val="0"/>
              <w:marBottom w:val="0"/>
              <w:divBdr>
                <w:top w:val="none" w:sz="0" w:space="0" w:color="auto"/>
                <w:left w:val="none" w:sz="0" w:space="0" w:color="auto"/>
                <w:bottom w:val="none" w:sz="0" w:space="0" w:color="auto"/>
                <w:right w:val="none" w:sz="0" w:space="0" w:color="auto"/>
              </w:divBdr>
            </w:div>
            <w:div w:id="1839032178">
              <w:marLeft w:val="0"/>
              <w:marRight w:val="0"/>
              <w:marTop w:val="0"/>
              <w:marBottom w:val="0"/>
              <w:divBdr>
                <w:top w:val="none" w:sz="0" w:space="0" w:color="auto"/>
                <w:left w:val="none" w:sz="0" w:space="0" w:color="auto"/>
                <w:bottom w:val="none" w:sz="0" w:space="0" w:color="auto"/>
                <w:right w:val="none" w:sz="0" w:space="0" w:color="auto"/>
              </w:divBdr>
            </w:div>
            <w:div w:id="878206380">
              <w:marLeft w:val="0"/>
              <w:marRight w:val="0"/>
              <w:marTop w:val="0"/>
              <w:marBottom w:val="0"/>
              <w:divBdr>
                <w:top w:val="none" w:sz="0" w:space="0" w:color="auto"/>
                <w:left w:val="none" w:sz="0" w:space="0" w:color="auto"/>
                <w:bottom w:val="none" w:sz="0" w:space="0" w:color="auto"/>
                <w:right w:val="none" w:sz="0" w:space="0" w:color="auto"/>
              </w:divBdr>
            </w:div>
            <w:div w:id="1131745236">
              <w:marLeft w:val="0"/>
              <w:marRight w:val="0"/>
              <w:marTop w:val="0"/>
              <w:marBottom w:val="0"/>
              <w:divBdr>
                <w:top w:val="none" w:sz="0" w:space="0" w:color="auto"/>
                <w:left w:val="none" w:sz="0" w:space="0" w:color="auto"/>
                <w:bottom w:val="none" w:sz="0" w:space="0" w:color="auto"/>
                <w:right w:val="none" w:sz="0" w:space="0" w:color="auto"/>
              </w:divBdr>
            </w:div>
            <w:div w:id="1107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tic.org/admin/newsletters/links/read?token=AYTNSPXMGK&amp;rec=1122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ic.org/admin/newsletters/links/read?token=KRFB42TOS6&amp;rec=112231" TargetMode="External"/><Relationship Id="rId5" Type="http://schemas.openxmlformats.org/officeDocument/2006/relationships/image" Target="media/image1.png"/><Relationship Id="rId4" Type="http://schemas.openxmlformats.org/officeDocument/2006/relationships/hyperlink" Target="https://ctic.org/admin/newsletters/links/read?token=KRFB42TOS6&amp;rec=1122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Company>Hewlett-Packard</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cp:revision>
  <dcterms:created xsi:type="dcterms:W3CDTF">2022-07-01T09:15:00Z</dcterms:created>
  <dcterms:modified xsi:type="dcterms:W3CDTF">2022-07-01T09:17:00Z</dcterms:modified>
</cp:coreProperties>
</file>