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221"/>
        <w:tblW w:w="10500" w:type="dxa"/>
        <w:shd w:val="clear" w:color="auto" w:fill="FFFFFF"/>
        <w:tblCellMar>
          <w:top w:w="150" w:type="dxa"/>
          <w:left w:w="0" w:type="dxa"/>
          <w:bottom w:w="150" w:type="dxa"/>
          <w:right w:w="0" w:type="dxa"/>
        </w:tblCellMar>
        <w:tblLook w:val="04A0"/>
      </w:tblPr>
      <w:tblGrid>
        <w:gridCol w:w="7492"/>
        <w:gridCol w:w="3008"/>
      </w:tblGrid>
      <w:tr w:rsidR="00671D43" w:rsidRPr="00671D43" w:rsidTr="00671D43">
        <w:tc>
          <w:tcPr>
            <w:tcW w:w="0" w:type="auto"/>
            <w:gridSpan w:val="2"/>
            <w:shd w:val="clear" w:color="auto" w:fill="FFFFFF"/>
            <w:tcMar>
              <w:top w:w="150" w:type="dxa"/>
              <w:left w:w="150" w:type="dxa"/>
              <w:bottom w:w="150" w:type="dxa"/>
              <w:right w:w="150" w:type="dxa"/>
            </w:tcMar>
            <w:vAlign w:val="center"/>
            <w:hideMark/>
          </w:tcPr>
          <w:p w:rsidR="00671D43" w:rsidRPr="00671D43" w:rsidRDefault="00671D43" w:rsidP="00671D43">
            <w:pPr>
              <w:spacing w:after="240" w:line="240" w:lineRule="auto"/>
              <w:rPr>
                <w:rFonts w:ascii="Segoe UI" w:eastAsia="Times New Roman" w:hAnsi="Segoe UI" w:cs="Segoe UI"/>
                <w:sz w:val="18"/>
                <w:szCs w:val="18"/>
              </w:rPr>
            </w:pPr>
            <w:r w:rsidRPr="00671D43">
              <w:rPr>
                <w:rFonts w:ascii="Segoe UI" w:eastAsia="Times New Roman" w:hAnsi="Segoe UI" w:cs="Segoe UI"/>
                <w:b/>
                <w:bCs/>
                <w:sz w:val="18"/>
              </w:rPr>
              <w:t>MAUMEE/SANDUSKY BASINS PROJECT GETS EPA FUNDING</w:t>
            </w:r>
          </w:p>
          <w:p w:rsidR="00671D43" w:rsidRPr="00671D43" w:rsidRDefault="00671D43" w:rsidP="00671D43">
            <w:pPr>
              <w:spacing w:after="0" w:line="240" w:lineRule="auto"/>
              <w:rPr>
                <w:rFonts w:ascii="Segoe UI" w:eastAsia="Times New Roman" w:hAnsi="Segoe UI" w:cs="Segoe UI"/>
                <w:sz w:val="18"/>
                <w:szCs w:val="18"/>
              </w:rPr>
            </w:pPr>
            <w:r w:rsidRPr="00671D43">
              <w:rPr>
                <w:rFonts w:ascii="Segoe UI" w:eastAsia="Times New Roman" w:hAnsi="Segoe UI" w:cs="Segoe UI"/>
                <w:sz w:val="18"/>
                <w:szCs w:val="18"/>
              </w:rPr>
              <w:t>CTIC, in partnership with Ecosystem Services Marketplace Consortium (ESMC), Heidelberg University in Ohio, and others, received a $472,000 Great Lakes Restoration Initiative (GLRI) grant from the U.S. Environmental Protection Agency.</w:t>
            </w:r>
          </w:p>
        </w:tc>
      </w:tr>
      <w:tr w:rsidR="00671D43" w:rsidRPr="00671D43" w:rsidTr="00671D43">
        <w:tc>
          <w:tcPr>
            <w:tcW w:w="6893" w:type="dxa"/>
            <w:shd w:val="clear" w:color="auto" w:fill="FFFFFF"/>
            <w:tcMar>
              <w:top w:w="0" w:type="dxa"/>
              <w:left w:w="0" w:type="dxa"/>
              <w:bottom w:w="150" w:type="dxa"/>
              <w:right w:w="225" w:type="dxa"/>
            </w:tcMar>
            <w:hideMark/>
          </w:tcPr>
          <w:p w:rsidR="00671D43" w:rsidRPr="00671D43" w:rsidRDefault="00671D43" w:rsidP="00671D43">
            <w:pPr>
              <w:spacing w:after="0" w:line="240" w:lineRule="auto"/>
              <w:rPr>
                <w:rFonts w:ascii="Segoe UI" w:eastAsia="Times New Roman" w:hAnsi="Segoe UI" w:cs="Segoe UI"/>
                <w:sz w:val="18"/>
                <w:szCs w:val="18"/>
              </w:rPr>
            </w:pPr>
            <w:r>
              <w:rPr>
                <w:rFonts w:ascii="Segoe UI" w:eastAsia="Times New Roman" w:hAnsi="Segoe UI" w:cs="Segoe UI"/>
                <w:noProof/>
                <w:sz w:val="18"/>
                <w:szCs w:val="18"/>
              </w:rPr>
              <w:drawing>
                <wp:inline distT="0" distB="0" distL="0" distR="0">
                  <wp:extent cx="2857500" cy="1933575"/>
                  <wp:effectExtent l="19050" t="0" r="0" b="0"/>
                  <wp:docPr id="2" name="Picture 1" descr="GLR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RI Image"/>
                          <pic:cNvPicPr>
                            <a:picLocks noChangeAspect="1" noChangeArrowheads="1"/>
                          </pic:cNvPicPr>
                        </pic:nvPicPr>
                        <pic:blipFill>
                          <a:blip r:embed="rId4" cstate="print"/>
                          <a:srcRect/>
                          <a:stretch>
                            <a:fillRect/>
                          </a:stretch>
                        </pic:blipFill>
                        <pic:spPr bwMode="auto">
                          <a:xfrm>
                            <a:off x="0" y="0"/>
                            <a:ext cx="2857500" cy="1933575"/>
                          </a:xfrm>
                          <a:prstGeom prst="rect">
                            <a:avLst/>
                          </a:prstGeom>
                          <a:noFill/>
                          <a:ln w="9525">
                            <a:noFill/>
                            <a:miter lim="800000"/>
                            <a:headEnd/>
                            <a:tailEnd/>
                          </a:ln>
                        </pic:spPr>
                      </pic:pic>
                    </a:graphicData>
                  </a:graphic>
                </wp:inline>
              </w:drawing>
            </w:r>
          </w:p>
        </w:tc>
        <w:tc>
          <w:tcPr>
            <w:tcW w:w="3607" w:type="dxa"/>
            <w:shd w:val="clear" w:color="auto" w:fill="FFFFFF"/>
            <w:tcMar>
              <w:top w:w="0" w:type="dxa"/>
              <w:left w:w="0" w:type="dxa"/>
              <w:bottom w:w="0" w:type="dxa"/>
              <w:right w:w="0" w:type="dxa"/>
            </w:tcMar>
            <w:hideMark/>
          </w:tcPr>
          <w:p w:rsidR="00671D43" w:rsidRPr="00671D43" w:rsidRDefault="00671D43" w:rsidP="00671D43">
            <w:pPr>
              <w:spacing w:after="0" w:line="240" w:lineRule="auto"/>
              <w:rPr>
                <w:rFonts w:ascii="Segoe UI" w:eastAsia="Times New Roman" w:hAnsi="Segoe UI" w:cs="Segoe UI"/>
                <w:sz w:val="18"/>
                <w:szCs w:val="18"/>
              </w:rPr>
            </w:pPr>
            <w:r w:rsidRPr="00671D43">
              <w:rPr>
                <w:rFonts w:ascii="Segoe UI" w:eastAsia="Times New Roman" w:hAnsi="Segoe UI" w:cs="Segoe UI"/>
                <w:sz w:val="18"/>
                <w:szCs w:val="18"/>
              </w:rPr>
              <w:t>The grant will fund a three-year project in the Maumee and Sandusky river basins that aims to reduce phosphorous loads by 40 percent using subsurface application, cover crops and buffer strips and the principles of The Fertilizer Institute's </w:t>
            </w:r>
            <w:hyperlink r:id="rId5" w:tgtFrame="_blank" w:history="1">
              <w:r w:rsidRPr="00671D43">
                <w:rPr>
                  <w:rFonts w:ascii="Segoe UI" w:eastAsia="Times New Roman" w:hAnsi="Segoe UI" w:cs="Segoe UI"/>
                  <w:color w:val="3C61AA"/>
                  <w:sz w:val="18"/>
                  <w:u w:val="single"/>
                </w:rPr>
                <w:t>4R Nutrient Stewardship</w:t>
              </w:r>
            </w:hyperlink>
            <w:r w:rsidRPr="00671D43">
              <w:rPr>
                <w:rFonts w:ascii="Segoe UI" w:eastAsia="Times New Roman" w:hAnsi="Segoe UI" w:cs="Segoe UI"/>
                <w:sz w:val="18"/>
                <w:szCs w:val="18"/>
              </w:rPr>
              <w:t>. Technical support will be provided by TFI and the Soil Health Partnership (SHP).</w:t>
            </w:r>
          </w:p>
          <w:p w:rsidR="00671D43" w:rsidRPr="00671D43" w:rsidRDefault="00671D43" w:rsidP="00671D43">
            <w:pPr>
              <w:spacing w:after="240" w:line="240" w:lineRule="auto"/>
              <w:rPr>
                <w:rFonts w:ascii="Segoe UI" w:eastAsia="Times New Roman" w:hAnsi="Segoe UI" w:cs="Segoe UI"/>
                <w:sz w:val="18"/>
                <w:szCs w:val="18"/>
              </w:rPr>
            </w:pPr>
            <w:r w:rsidRPr="00671D43">
              <w:rPr>
                <w:rFonts w:ascii="Segoe UI" w:eastAsia="Times New Roman" w:hAnsi="Segoe UI" w:cs="Segoe UI"/>
                <w:sz w:val="18"/>
                <w:szCs w:val="18"/>
              </w:rPr>
              <w:t>As farmers implement conservation systems, we will use Operational Tillage Information System (</w:t>
            </w:r>
            <w:proofErr w:type="spellStart"/>
            <w:r w:rsidRPr="00671D43">
              <w:rPr>
                <w:rFonts w:ascii="Segoe UI" w:eastAsia="Times New Roman" w:hAnsi="Segoe UI" w:cs="Segoe UI"/>
                <w:sz w:val="18"/>
                <w:szCs w:val="18"/>
              </w:rPr>
              <w:t>OpTIS</w:t>
            </w:r>
            <w:proofErr w:type="spellEnd"/>
            <w:r w:rsidRPr="00671D43">
              <w:rPr>
                <w:rFonts w:ascii="Segoe UI" w:eastAsia="Times New Roman" w:hAnsi="Segoe UI" w:cs="Segoe UI"/>
                <w:sz w:val="18"/>
                <w:szCs w:val="18"/>
              </w:rPr>
              <w:t>) data and Heidelberg University's Nutrient Tracking Tool to set baselines and follow the effects of the management practices over time. ESMC will enable water quality trading for P credits, coordinate a pay-for-performance model, and link farmers with buyers seeking sustainably produced commodities.</w:t>
            </w:r>
          </w:p>
        </w:tc>
      </w:tr>
      <w:tr w:rsidR="00671D43" w:rsidRPr="00671D43" w:rsidTr="00671D43">
        <w:tc>
          <w:tcPr>
            <w:tcW w:w="0" w:type="auto"/>
            <w:gridSpan w:val="2"/>
            <w:shd w:val="clear" w:color="auto" w:fill="FFFFFF"/>
            <w:tcMar>
              <w:top w:w="150" w:type="dxa"/>
              <w:left w:w="150" w:type="dxa"/>
              <w:bottom w:w="150" w:type="dxa"/>
              <w:right w:w="150" w:type="dxa"/>
            </w:tcMar>
            <w:vAlign w:val="center"/>
            <w:hideMark/>
          </w:tcPr>
          <w:p w:rsidR="00671D43" w:rsidRPr="00671D43" w:rsidRDefault="00671D43" w:rsidP="00671D43">
            <w:pPr>
              <w:spacing w:after="0" w:line="240" w:lineRule="auto"/>
              <w:rPr>
                <w:rFonts w:ascii="Segoe UI" w:eastAsia="Times New Roman" w:hAnsi="Segoe UI" w:cs="Segoe UI"/>
                <w:sz w:val="18"/>
                <w:szCs w:val="18"/>
              </w:rPr>
            </w:pPr>
            <w:r w:rsidRPr="00671D43">
              <w:rPr>
                <w:rFonts w:ascii="Segoe UI" w:eastAsia="Times New Roman" w:hAnsi="Segoe UI" w:cs="Segoe UI"/>
                <w:sz w:val="18"/>
                <w:szCs w:val="18"/>
              </w:rPr>
              <w:t xml:space="preserve">"Through this partnership with farmers, researchers, market makers, and nonprofits, we will create the ability to quantify and reward farmers for their reductions in phosphorus loss," says CTIC executive director Mike </w:t>
            </w:r>
            <w:proofErr w:type="spellStart"/>
            <w:r w:rsidRPr="00671D43">
              <w:rPr>
                <w:rFonts w:ascii="Segoe UI" w:eastAsia="Times New Roman" w:hAnsi="Segoe UI" w:cs="Segoe UI"/>
                <w:sz w:val="18"/>
                <w:szCs w:val="18"/>
              </w:rPr>
              <w:t>Komp</w:t>
            </w:r>
            <w:proofErr w:type="spellEnd"/>
            <w:r w:rsidRPr="00671D43">
              <w:rPr>
                <w:rFonts w:ascii="Segoe UI" w:eastAsia="Times New Roman" w:hAnsi="Segoe UI" w:cs="Segoe UI"/>
                <w:sz w:val="18"/>
                <w:szCs w:val="18"/>
              </w:rPr>
              <w:t>.</w:t>
            </w:r>
          </w:p>
          <w:p w:rsidR="00671D43" w:rsidRPr="00671D43" w:rsidRDefault="00671D43" w:rsidP="00671D43">
            <w:pPr>
              <w:spacing w:after="240" w:line="240" w:lineRule="auto"/>
              <w:rPr>
                <w:rFonts w:ascii="Segoe UI" w:eastAsia="Times New Roman" w:hAnsi="Segoe UI" w:cs="Segoe UI"/>
                <w:sz w:val="18"/>
                <w:szCs w:val="18"/>
              </w:rPr>
            </w:pPr>
            <w:r w:rsidRPr="00671D43">
              <w:rPr>
                <w:rFonts w:ascii="Segoe UI" w:eastAsia="Times New Roman" w:hAnsi="Segoe UI" w:cs="Segoe UI"/>
                <w:sz w:val="18"/>
                <w:szCs w:val="18"/>
              </w:rPr>
              <w:t> </w:t>
            </w:r>
          </w:p>
        </w:tc>
      </w:tr>
    </w:tbl>
    <w:p w:rsidR="008C52D1" w:rsidRPr="00671D43" w:rsidRDefault="00671D43">
      <w:pPr>
        <w:rPr>
          <w:rFonts w:ascii="Arial" w:hAnsi="Arial" w:cs="Arial"/>
          <w:b/>
          <w:sz w:val="28"/>
          <w:szCs w:val="28"/>
        </w:rPr>
      </w:pPr>
      <w:r w:rsidRPr="00671D43">
        <w:rPr>
          <w:rFonts w:ascii="Arial" w:hAnsi="Arial" w:cs="Arial"/>
          <w:b/>
          <w:sz w:val="28"/>
          <w:szCs w:val="28"/>
        </w:rPr>
        <w:t>Excerpt from Conservation Technology Information Center</w:t>
      </w:r>
    </w:p>
    <w:sectPr w:rsidR="008C52D1" w:rsidRPr="00671D43" w:rsidSect="008C5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D43"/>
    <w:rsid w:val="00671D43"/>
    <w:rsid w:val="008C5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D43"/>
    <w:rPr>
      <w:b/>
      <w:bCs/>
    </w:rPr>
  </w:style>
  <w:style w:type="character" w:styleId="Hyperlink">
    <w:name w:val="Hyperlink"/>
    <w:basedOn w:val="DefaultParagraphFont"/>
    <w:uiPriority w:val="99"/>
    <w:semiHidden/>
    <w:unhideWhenUsed/>
    <w:rsid w:val="00671D43"/>
    <w:rPr>
      <w:color w:val="0000FF"/>
      <w:u w:val="single"/>
    </w:rPr>
  </w:style>
  <w:style w:type="paragraph" w:styleId="BalloonText">
    <w:name w:val="Balloon Text"/>
    <w:basedOn w:val="Normal"/>
    <w:link w:val="BalloonTextChar"/>
    <w:uiPriority w:val="99"/>
    <w:semiHidden/>
    <w:unhideWhenUsed/>
    <w:rsid w:val="00671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996383">
      <w:bodyDiv w:val="1"/>
      <w:marLeft w:val="0"/>
      <w:marRight w:val="0"/>
      <w:marTop w:val="0"/>
      <w:marBottom w:val="0"/>
      <w:divBdr>
        <w:top w:val="none" w:sz="0" w:space="0" w:color="auto"/>
        <w:left w:val="none" w:sz="0" w:space="0" w:color="auto"/>
        <w:bottom w:val="none" w:sz="0" w:space="0" w:color="auto"/>
        <w:right w:val="none" w:sz="0" w:space="0" w:color="auto"/>
      </w:divBdr>
      <w:divsChild>
        <w:div w:id="770465733">
          <w:marLeft w:val="0"/>
          <w:marRight w:val="0"/>
          <w:marTop w:val="0"/>
          <w:marBottom w:val="0"/>
          <w:divBdr>
            <w:top w:val="none" w:sz="0" w:space="0" w:color="auto"/>
            <w:left w:val="none" w:sz="0" w:space="0" w:color="auto"/>
            <w:bottom w:val="none" w:sz="0" w:space="0" w:color="auto"/>
            <w:right w:val="none" w:sz="0" w:space="0" w:color="auto"/>
          </w:divBdr>
        </w:div>
        <w:div w:id="818157720">
          <w:marLeft w:val="0"/>
          <w:marRight w:val="0"/>
          <w:marTop w:val="0"/>
          <w:marBottom w:val="0"/>
          <w:divBdr>
            <w:top w:val="none" w:sz="0" w:space="0" w:color="auto"/>
            <w:left w:val="none" w:sz="0" w:space="0" w:color="auto"/>
            <w:bottom w:val="none" w:sz="0" w:space="0" w:color="auto"/>
            <w:right w:val="none" w:sz="0" w:space="0" w:color="auto"/>
          </w:divBdr>
        </w:div>
        <w:div w:id="24943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tic.org/admin/newsletters/links/read?token=JRCCJL238Z&amp;rec=6406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0</DocSecurity>
  <Lines>10</Lines>
  <Paragraphs>2</Paragraphs>
  <ScaleCrop>false</ScaleCrop>
  <Company>Hewlett-Packard</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2020-04-06T21:44:00Z</dcterms:created>
  <dcterms:modified xsi:type="dcterms:W3CDTF">2020-04-06T21:46:00Z</dcterms:modified>
</cp:coreProperties>
</file>